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C0" w:rsidRPr="00442B30" w:rsidRDefault="00E713C0" w:rsidP="00442B30">
      <w:pPr>
        <w:pStyle w:val="af0"/>
        <w:jc w:val="center"/>
        <w:rPr>
          <w:rFonts w:ascii="Tahoma" w:hAnsi="Tahoma" w:cs="Tahoma"/>
          <w:b/>
          <w:sz w:val="34"/>
          <w:szCs w:val="34"/>
        </w:rPr>
      </w:pPr>
      <w:r w:rsidRPr="00442B30">
        <w:rPr>
          <w:rFonts w:ascii="Tahoma" w:hAnsi="Tahoma" w:cs="Tahoma"/>
          <w:b/>
          <w:sz w:val="34"/>
          <w:szCs w:val="34"/>
        </w:rPr>
        <w:t>Администрация муниципального образования</w:t>
      </w:r>
    </w:p>
    <w:p w:rsidR="00E713C0" w:rsidRDefault="000F317F" w:rsidP="00442B30">
      <w:pPr>
        <w:pStyle w:val="af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34"/>
          <w:szCs w:val="34"/>
        </w:rPr>
        <w:t>сельское поселение «</w:t>
      </w:r>
      <w:r w:rsidR="00966432">
        <w:rPr>
          <w:rFonts w:ascii="Tahoma" w:hAnsi="Tahoma" w:cs="Tahoma"/>
          <w:b/>
          <w:sz w:val="34"/>
          <w:szCs w:val="34"/>
        </w:rPr>
        <w:t>Деревня Озеро</w:t>
      </w:r>
      <w:r w:rsidR="00E713C0" w:rsidRPr="00442B30">
        <w:rPr>
          <w:rFonts w:ascii="Tahoma" w:hAnsi="Tahoma" w:cs="Tahoma"/>
          <w:b/>
          <w:sz w:val="34"/>
          <w:szCs w:val="34"/>
        </w:rPr>
        <w:t>»</w:t>
      </w:r>
    </w:p>
    <w:p w:rsidR="00E713C0" w:rsidRPr="00442B30" w:rsidRDefault="00E713C0" w:rsidP="00442B30">
      <w:pPr>
        <w:pStyle w:val="af0"/>
        <w:jc w:val="center"/>
        <w:rPr>
          <w:rFonts w:ascii="Tahoma" w:hAnsi="Tahoma" w:cs="Tahoma"/>
          <w:b/>
        </w:rPr>
      </w:pPr>
    </w:p>
    <w:p w:rsidR="00E713C0" w:rsidRPr="00442B30" w:rsidRDefault="00E713C0" w:rsidP="00442B30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E713C0" w:rsidRDefault="00FB6E63" w:rsidP="00442B30">
      <w:pPr>
        <w:jc w:val="center"/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83.2pt;margin-top:2.4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E713C0" w:rsidRPr="00442B30" w:rsidRDefault="00E713C0" w:rsidP="00442B30">
      <w:pPr>
        <w:jc w:val="center"/>
      </w:pPr>
    </w:p>
    <w:p w:rsidR="00E713C0" w:rsidRPr="001A59DE" w:rsidRDefault="00E713C0" w:rsidP="00442B30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  <w:r w:rsidRPr="001A59DE">
        <w:rPr>
          <w:rFonts w:ascii="Times New Roman" w:hAnsi="Times New Roman"/>
          <w:b/>
          <w:color w:val="000000"/>
        </w:rPr>
        <w:t xml:space="preserve">  </w:t>
      </w:r>
      <w:r w:rsidR="000F317F">
        <w:rPr>
          <w:rFonts w:ascii="Times New Roman" w:hAnsi="Times New Roman"/>
          <w:b/>
          <w:color w:val="000000"/>
          <w:sz w:val="24"/>
          <w:szCs w:val="24"/>
        </w:rPr>
        <w:t xml:space="preserve">от  </w:t>
      </w:r>
      <w:r w:rsidR="00777AC0">
        <w:rPr>
          <w:rFonts w:ascii="Times New Roman" w:hAnsi="Times New Roman"/>
          <w:b/>
          <w:color w:val="000000"/>
          <w:sz w:val="24"/>
          <w:szCs w:val="24"/>
        </w:rPr>
        <w:t>30</w:t>
      </w:r>
      <w:bookmarkStart w:id="0" w:name="_GoBack"/>
      <w:bookmarkEnd w:id="0"/>
      <w:r w:rsidR="00101248">
        <w:rPr>
          <w:rFonts w:ascii="Times New Roman" w:hAnsi="Times New Roman"/>
          <w:b/>
          <w:color w:val="000000"/>
          <w:sz w:val="24"/>
          <w:szCs w:val="24"/>
        </w:rPr>
        <w:t xml:space="preserve">  ноября</w:t>
      </w:r>
      <w:r w:rsidR="000F31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 2020 года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="000F317F">
        <w:rPr>
          <w:rFonts w:ascii="Times New Roman" w:hAnsi="Times New Roman"/>
          <w:b/>
          <w:color w:val="000000"/>
          <w:sz w:val="24"/>
          <w:szCs w:val="24"/>
        </w:rPr>
        <w:t xml:space="preserve">                   №</w:t>
      </w:r>
      <w:r w:rsidR="00101248">
        <w:rPr>
          <w:rFonts w:ascii="Times New Roman" w:hAnsi="Times New Roman"/>
          <w:b/>
          <w:color w:val="000000"/>
          <w:sz w:val="24"/>
          <w:szCs w:val="24"/>
        </w:rPr>
        <w:t>37а</w:t>
      </w:r>
      <w:r w:rsidR="000F31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713C0" w:rsidRPr="001A59DE" w:rsidRDefault="00E713C0" w:rsidP="00442B30">
      <w:pPr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E713C0" w:rsidRPr="001A59DE" w:rsidTr="00610CF7">
        <w:trPr>
          <w:trHeight w:val="945"/>
        </w:trPr>
        <w:tc>
          <w:tcPr>
            <w:tcW w:w="6321" w:type="dxa"/>
          </w:tcPr>
          <w:p w:rsidR="00E713C0" w:rsidRPr="001A59DE" w:rsidRDefault="00E713C0" w:rsidP="00966432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      </w:r>
            <w:r w:rsidR="000F317F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кое поселение «</w:t>
            </w:r>
            <w:r w:rsidR="00966432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Деревня Озеро</w:t>
            </w: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»  муниципального района «Юхновский район» Калужской области</w:t>
            </w:r>
            <w:r w:rsidRPr="001A59DE"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13C0" w:rsidRPr="001A59DE" w:rsidRDefault="00E713C0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42.10 Федерального закона от 24.07.2007 года № 221-ФЗ «О государственном кадастре недвижимости»</w:t>
      </w:r>
      <w:r w:rsidRPr="001A59DE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сельс</w:t>
      </w:r>
      <w:r w:rsidR="000F317F">
        <w:rPr>
          <w:rFonts w:ascii="Times New Roman" w:hAnsi="Times New Roman"/>
          <w:sz w:val="24"/>
          <w:szCs w:val="24"/>
        </w:rPr>
        <w:t>кое поселение «</w:t>
      </w:r>
      <w:r w:rsidR="00966432">
        <w:rPr>
          <w:rFonts w:ascii="Times New Roman" w:hAnsi="Times New Roman"/>
          <w:sz w:val="24"/>
          <w:szCs w:val="24"/>
        </w:rPr>
        <w:t xml:space="preserve"> Деревня Озеро</w:t>
      </w:r>
      <w:r w:rsidRPr="001A59DE">
        <w:rPr>
          <w:rFonts w:ascii="Times New Roman" w:hAnsi="Times New Roman"/>
          <w:sz w:val="24"/>
          <w:szCs w:val="24"/>
        </w:rPr>
        <w:t xml:space="preserve">» Юхновского района Калужской области </w:t>
      </w:r>
    </w:p>
    <w:p w:rsidR="00E713C0" w:rsidRPr="001A59DE" w:rsidRDefault="00E713C0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E713C0" w:rsidRPr="001A59DE" w:rsidRDefault="00E713C0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E713C0" w:rsidRPr="001A59DE" w:rsidRDefault="00E713C0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13C0" w:rsidRPr="001A59DE" w:rsidRDefault="00E713C0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1. Создать 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>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 w:rsidR="000F317F">
        <w:rPr>
          <w:rFonts w:ascii="Times New Roman" w:hAnsi="Times New Roman"/>
          <w:kern w:val="36"/>
          <w:sz w:val="24"/>
          <w:szCs w:val="24"/>
          <w:lang w:eastAsia="ru-RU"/>
        </w:rPr>
        <w:t>кое поселение «</w:t>
      </w:r>
      <w:r w:rsidR="00966432">
        <w:rPr>
          <w:rFonts w:ascii="Times New Roman" w:hAnsi="Times New Roman"/>
          <w:kern w:val="36"/>
          <w:sz w:val="24"/>
          <w:szCs w:val="24"/>
          <w:lang w:eastAsia="ru-RU"/>
        </w:rPr>
        <w:t>Деревня Озеро</w:t>
      </w:r>
      <w:r w:rsidR="000F317F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муниципального района «Юхновский район» Калужской области в составе, указанном в Приложении № 1 к настоящему постановлению.</w:t>
      </w:r>
    </w:p>
    <w:p w:rsidR="00E713C0" w:rsidRPr="001A59DE" w:rsidRDefault="00E713C0" w:rsidP="008A50E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</w:rPr>
        <w:t xml:space="preserve">2. Утвердить 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 w:rsidR="000F317F">
        <w:rPr>
          <w:rFonts w:ascii="Times New Roman" w:hAnsi="Times New Roman"/>
          <w:kern w:val="36"/>
          <w:sz w:val="24"/>
          <w:szCs w:val="24"/>
          <w:lang w:eastAsia="ru-RU"/>
        </w:rPr>
        <w:t>кое поселение «</w:t>
      </w:r>
      <w:r w:rsidR="00966432">
        <w:rPr>
          <w:rFonts w:ascii="Times New Roman" w:hAnsi="Times New Roman"/>
          <w:kern w:val="36"/>
          <w:sz w:val="24"/>
          <w:szCs w:val="24"/>
          <w:lang w:eastAsia="ru-RU"/>
        </w:rPr>
        <w:t>Деревня Озеро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>» муниципального района «Юхновский район» Калужской области согласно Приложению № 2.</w:t>
      </w:r>
    </w:p>
    <w:p w:rsidR="00E713C0" w:rsidRPr="001A59DE" w:rsidRDefault="00E713C0" w:rsidP="008A50E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>3. Настоящее постановление вступает в силу после его обнародования на информационном стенде в помещении администрации муниципального образования сельс</w:t>
      </w:r>
      <w:r w:rsidR="000F317F">
        <w:rPr>
          <w:rFonts w:ascii="Times New Roman" w:hAnsi="Times New Roman"/>
          <w:kern w:val="36"/>
          <w:sz w:val="24"/>
          <w:szCs w:val="24"/>
          <w:lang w:eastAsia="ru-RU"/>
        </w:rPr>
        <w:t>кое поселение «</w:t>
      </w:r>
      <w:r w:rsidR="00966432">
        <w:rPr>
          <w:rFonts w:ascii="Times New Roman" w:hAnsi="Times New Roman"/>
          <w:kern w:val="36"/>
          <w:sz w:val="24"/>
          <w:szCs w:val="24"/>
          <w:lang w:eastAsia="ru-RU"/>
        </w:rPr>
        <w:t>Деревня Озеро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>» и подлежит размещению на официальном сайте администрации муниципального образования администрации муниципального образования сельск</w:t>
      </w:r>
      <w:r w:rsidR="000F317F">
        <w:rPr>
          <w:rFonts w:ascii="Times New Roman" w:hAnsi="Times New Roman"/>
          <w:kern w:val="36"/>
          <w:sz w:val="24"/>
          <w:szCs w:val="24"/>
          <w:lang w:eastAsia="ru-RU"/>
        </w:rPr>
        <w:t>ое поселение «</w:t>
      </w:r>
      <w:r w:rsidR="00966432">
        <w:rPr>
          <w:rFonts w:ascii="Times New Roman" w:hAnsi="Times New Roman"/>
          <w:kern w:val="36"/>
          <w:sz w:val="24"/>
          <w:szCs w:val="24"/>
          <w:lang w:eastAsia="ru-RU"/>
        </w:rPr>
        <w:t>Деревня Озеро</w:t>
      </w:r>
      <w:r w:rsidR="000F317F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в сети «Интернет».</w:t>
      </w:r>
    </w:p>
    <w:p w:rsidR="00E713C0" w:rsidRPr="001A59DE" w:rsidRDefault="00E713C0" w:rsidP="00E825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1A59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3C0" w:rsidRPr="001A59DE" w:rsidRDefault="00E713C0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3C0" w:rsidRPr="001A59DE" w:rsidRDefault="00E713C0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3C0" w:rsidRPr="001A59DE" w:rsidRDefault="00E713C0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E713C0" w:rsidRPr="001A59DE" w:rsidRDefault="00E713C0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МО сельское поселение </w:t>
      </w:r>
    </w:p>
    <w:p w:rsidR="00E713C0" w:rsidRPr="001A59DE" w:rsidRDefault="000F317F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66432">
        <w:rPr>
          <w:rFonts w:ascii="Times New Roman" w:hAnsi="Times New Roman"/>
          <w:b/>
          <w:sz w:val="24"/>
          <w:szCs w:val="24"/>
        </w:rPr>
        <w:t>Деревня Озеро</w:t>
      </w:r>
      <w:r w:rsidR="00E713C0" w:rsidRPr="001A59DE">
        <w:rPr>
          <w:rFonts w:ascii="Times New Roman" w:hAnsi="Times New Roman"/>
          <w:b/>
          <w:sz w:val="24"/>
          <w:szCs w:val="24"/>
        </w:rPr>
        <w:t xml:space="preserve">»                                                       </w:t>
      </w:r>
      <w:r w:rsidR="00E713C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E713C0" w:rsidRPr="001A59DE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966432">
        <w:rPr>
          <w:rFonts w:ascii="Times New Roman" w:hAnsi="Times New Roman"/>
          <w:b/>
          <w:sz w:val="24"/>
          <w:szCs w:val="24"/>
        </w:rPr>
        <w:t>Е.Г.Фокина</w:t>
      </w:r>
      <w:proofErr w:type="spellEnd"/>
    </w:p>
    <w:p w:rsidR="00E713C0" w:rsidRPr="001A59DE" w:rsidRDefault="00E713C0" w:rsidP="00744B5C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E713C0" w:rsidRPr="001A59DE" w:rsidRDefault="00E713C0" w:rsidP="00744B5C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E713C0" w:rsidRPr="001A59DE" w:rsidRDefault="00E713C0" w:rsidP="00DA1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975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Default="00E713C0" w:rsidP="00975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975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E713C0" w:rsidRPr="001A59DE" w:rsidRDefault="000F317F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 СП «</w:t>
      </w:r>
      <w:r w:rsidR="00966432">
        <w:rPr>
          <w:rFonts w:ascii="Times New Roman" w:hAnsi="Times New Roman"/>
          <w:b/>
          <w:sz w:val="24"/>
          <w:szCs w:val="24"/>
          <w:lang w:eastAsia="ru-RU"/>
        </w:rPr>
        <w:t>Деревня Озеро</w:t>
      </w:r>
      <w:r w:rsidR="00E713C0" w:rsidRPr="001A59D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713C0" w:rsidRPr="001A59DE" w:rsidRDefault="00777A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8C5FAF">
        <w:rPr>
          <w:rFonts w:ascii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sz w:val="24"/>
          <w:szCs w:val="24"/>
          <w:lang w:eastAsia="ru-RU"/>
        </w:rPr>
        <w:t>30.11</w:t>
      </w:r>
      <w:r w:rsidR="000F317F">
        <w:rPr>
          <w:rFonts w:ascii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F31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13859">
        <w:rPr>
          <w:rFonts w:ascii="Times New Roman" w:hAnsi="Times New Roman"/>
          <w:b/>
          <w:sz w:val="24"/>
          <w:szCs w:val="24"/>
          <w:lang w:eastAsia="ru-RU"/>
        </w:rPr>
        <w:t>года №</w:t>
      </w:r>
      <w:r>
        <w:rPr>
          <w:rFonts w:ascii="Times New Roman" w:hAnsi="Times New Roman"/>
          <w:b/>
          <w:sz w:val="24"/>
          <w:szCs w:val="24"/>
          <w:lang w:eastAsia="ru-RU"/>
        </w:rPr>
        <w:t>37а</w:t>
      </w:r>
      <w:r w:rsidR="008138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Состав комиссии по согласованию местоположения границ </w:t>
      </w: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земельных участков при выполнении комплексных </w:t>
      </w: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кадастровых работ на территории муниципального образования </w:t>
      </w:r>
    </w:p>
    <w:p w:rsidR="00E713C0" w:rsidRPr="001A59DE" w:rsidRDefault="000F317F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сельское поселение «</w:t>
      </w:r>
      <w:r w:rsidR="00966432">
        <w:rPr>
          <w:rFonts w:ascii="Times New Roman" w:hAnsi="Times New Roman"/>
          <w:b/>
          <w:kern w:val="36"/>
          <w:sz w:val="24"/>
          <w:szCs w:val="24"/>
          <w:lang w:eastAsia="ru-RU"/>
        </w:rPr>
        <w:t>Деревня Озеро</w:t>
      </w:r>
      <w:r w:rsidR="00E713C0"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»</w:t>
      </w:r>
    </w:p>
    <w:p w:rsidR="00E713C0" w:rsidRPr="001A59DE" w:rsidRDefault="00E713C0" w:rsidP="005F4139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муниципального района «Юхновский район» Калужской области</w:t>
      </w:r>
    </w:p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3827"/>
      </w:tblGrid>
      <w:tr w:rsidR="00E713C0" w:rsidRPr="001A59DE" w:rsidTr="00AA14B9">
        <w:tc>
          <w:tcPr>
            <w:tcW w:w="6487" w:type="dxa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9664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муниципального образова</w:t>
            </w:r>
            <w:r w:rsidR="000F317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ния сельское поселение «</w:t>
            </w:r>
            <w:r w:rsidR="009664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Деревня Озеро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E713C0" w:rsidRPr="001A59DE" w:rsidRDefault="00966432" w:rsidP="009664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Фокина Екатерина Григорьевна</w:t>
            </w:r>
            <w:r w:rsidR="000F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EE2DA7" w:rsidRDefault="00E713C0" w:rsidP="00EE2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9664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муниципального образова</w:t>
            </w:r>
            <w:r w:rsidR="000F317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ния сельское поселение «</w:t>
            </w:r>
            <w:r w:rsidR="009664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Деревня Озеро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от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813859" w:rsidRPr="001A59DE" w:rsidTr="00AA14B9">
        <w:tc>
          <w:tcPr>
            <w:tcW w:w="6487" w:type="dxa"/>
            <w:vAlign w:val="center"/>
          </w:tcPr>
          <w:p w:rsidR="00813859" w:rsidRPr="001A59DE" w:rsidRDefault="00813859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Межрегиональное территориальное управление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13859" w:rsidRPr="001A59DE" w:rsidRDefault="00813859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отдела по управлению имуществом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емельными и природными ресурсами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Зайцева Татьяна Сергеевна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Комарь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Ивановна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 от саморегулируемой организации, членом которой является кадастровый инженер (в случае, если он является членом саморегулируемой организации)</w:t>
            </w:r>
          </w:p>
        </w:tc>
        <w:tc>
          <w:tcPr>
            <w:tcW w:w="3827" w:type="dxa"/>
            <w:vAlign w:val="center"/>
          </w:tcPr>
          <w:p w:rsidR="00E713C0" w:rsidRPr="001A59DE" w:rsidRDefault="00777A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0A5CAE" w:rsidRPr="001A59DE" w:rsidTr="00AA14B9">
        <w:tc>
          <w:tcPr>
            <w:tcW w:w="6487" w:type="dxa"/>
            <w:vAlign w:val="center"/>
          </w:tcPr>
          <w:p w:rsidR="000A5CAE" w:rsidRPr="001A59DE" w:rsidRDefault="000A5CAE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инженер </w:t>
            </w:r>
          </w:p>
        </w:tc>
        <w:tc>
          <w:tcPr>
            <w:tcW w:w="3827" w:type="dxa"/>
            <w:vAlign w:val="center"/>
          </w:tcPr>
          <w:p w:rsidR="000A5CAE" w:rsidRDefault="00777A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Default="00E713C0" w:rsidP="001A59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1A59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Приложение № 2</w:t>
      </w:r>
    </w:p>
    <w:p w:rsidR="00E713C0" w:rsidRPr="001A59DE" w:rsidRDefault="00E713C0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E713C0" w:rsidRPr="001A59DE" w:rsidRDefault="000F317F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 СП «</w:t>
      </w:r>
      <w:r w:rsidR="00966432">
        <w:rPr>
          <w:rFonts w:ascii="Times New Roman" w:hAnsi="Times New Roman"/>
          <w:b/>
          <w:sz w:val="24"/>
          <w:szCs w:val="24"/>
          <w:lang w:eastAsia="ru-RU"/>
        </w:rPr>
        <w:t>Деревня Озеро</w:t>
      </w:r>
      <w:r w:rsidR="00E713C0" w:rsidRPr="001A59D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713C0" w:rsidRPr="001A59DE" w:rsidRDefault="000F317F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777AC0">
        <w:rPr>
          <w:rFonts w:ascii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77AC0">
        <w:rPr>
          <w:rFonts w:ascii="Times New Roman" w:hAnsi="Times New Roman"/>
          <w:b/>
          <w:sz w:val="24"/>
          <w:szCs w:val="24"/>
          <w:lang w:eastAsia="ru-RU"/>
        </w:rPr>
        <w:t>11</w:t>
      </w:r>
      <w:r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777AC0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>года №</w:t>
      </w:r>
      <w:r w:rsidR="00777AC0">
        <w:rPr>
          <w:rFonts w:ascii="Times New Roman" w:hAnsi="Times New Roman"/>
          <w:b/>
          <w:sz w:val="24"/>
          <w:szCs w:val="24"/>
          <w:lang w:eastAsia="ru-RU"/>
        </w:rPr>
        <w:t>37а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13C0" w:rsidRPr="001A59DE" w:rsidRDefault="00E713C0" w:rsidP="005A66F9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5A66F9">
      <w:pPr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Регламент</w:t>
      </w: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FF0000"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работы согласительной комиссии по согласованию местоположения границ земельных участков  при выполнении комплексных кадастровых работ на территории муниципального образова</w:t>
      </w:r>
      <w:r w:rsidR="000F317F">
        <w:rPr>
          <w:rFonts w:ascii="Times New Roman" w:hAnsi="Times New Roman"/>
          <w:b/>
          <w:kern w:val="36"/>
          <w:sz w:val="24"/>
          <w:szCs w:val="24"/>
          <w:lang w:eastAsia="ru-RU"/>
        </w:rPr>
        <w:t>ния сельское поселение «</w:t>
      </w:r>
      <w:r w:rsidR="00966432">
        <w:rPr>
          <w:rFonts w:ascii="Times New Roman" w:hAnsi="Times New Roman"/>
          <w:b/>
          <w:kern w:val="36"/>
          <w:sz w:val="24"/>
          <w:szCs w:val="24"/>
          <w:lang w:eastAsia="ru-RU"/>
        </w:rPr>
        <w:t>Деревня Озеро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» </w:t>
      </w: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муниципального района «Юхновский район» Калужской области</w:t>
      </w:r>
    </w:p>
    <w:p w:rsidR="00E713C0" w:rsidRPr="001A59DE" w:rsidRDefault="00E713C0" w:rsidP="00A9152B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1. Общие положения</w:t>
      </w:r>
    </w:p>
    <w:p w:rsidR="00E713C0" w:rsidRPr="001A59DE" w:rsidRDefault="00E713C0" w:rsidP="005A6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1.1 Настоящий  регламент, разработан в соответствии с частью 5 статьи 42.10  Федерального  закона от  24.07.2007 года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</w:t>
      </w:r>
      <w:r w:rsidR="000F317F">
        <w:rPr>
          <w:rFonts w:ascii="Times New Roman" w:hAnsi="Times New Roman"/>
          <w:sz w:val="24"/>
          <w:szCs w:val="24"/>
          <w:lang w:eastAsia="ru-RU"/>
        </w:rPr>
        <w:t>ния сельское поселение «</w:t>
      </w:r>
      <w:r w:rsidR="00966432">
        <w:rPr>
          <w:rFonts w:ascii="Times New Roman" w:hAnsi="Times New Roman"/>
          <w:sz w:val="24"/>
          <w:szCs w:val="24"/>
          <w:lang w:eastAsia="ru-RU"/>
        </w:rPr>
        <w:t>Деревня Озеро</w:t>
      </w:r>
      <w:r w:rsidRPr="001A59DE">
        <w:rPr>
          <w:rFonts w:ascii="Times New Roman" w:hAnsi="Times New Roman"/>
          <w:sz w:val="24"/>
          <w:szCs w:val="24"/>
          <w:lang w:eastAsia="ru-RU"/>
        </w:rPr>
        <w:t>» (далее - согласительная комиссия).</w:t>
      </w:r>
      <w:proofErr w:type="gramEnd"/>
    </w:p>
    <w:p w:rsidR="00E713C0" w:rsidRPr="001A59DE" w:rsidRDefault="00E713C0" w:rsidP="009A1A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E713C0" w:rsidRPr="001A59DE" w:rsidRDefault="00E713C0" w:rsidP="009A1A6C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2. Полномочия согласительной комиссии</w:t>
      </w:r>
    </w:p>
    <w:p w:rsidR="00E713C0" w:rsidRPr="001A59DE" w:rsidRDefault="00E713C0" w:rsidP="00A87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К полномочиям согласительной комиссии относятся:</w:t>
      </w:r>
    </w:p>
    <w:p w:rsidR="00E713C0" w:rsidRPr="001A59DE" w:rsidRDefault="00E713C0" w:rsidP="00A87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2.1. Рассмотрение возражений заинтересованных лиц, указанных в </w:t>
      </w:r>
      <w:hyperlink r:id="rId6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относительно местоположения границ земельных участков.</w:t>
      </w:r>
    </w:p>
    <w:p w:rsidR="00E713C0" w:rsidRPr="001A59DE" w:rsidRDefault="00E713C0" w:rsidP="00A87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2.2.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Подготовка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E713C0" w:rsidRPr="001A59DE" w:rsidRDefault="00E713C0" w:rsidP="00663D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2.3. Оформление акта согласования местоположения границ при выполнении комплексных кадастровых работ.</w:t>
      </w:r>
    </w:p>
    <w:p w:rsidR="00E713C0" w:rsidRPr="001A59DE" w:rsidRDefault="00E713C0" w:rsidP="00582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2.4. Разъяснение заинтересованным лицам, указанным в </w:t>
      </w:r>
      <w:hyperlink r:id="rId8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E713C0" w:rsidRPr="001A59DE" w:rsidRDefault="00E713C0" w:rsidP="004F4729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3. Состав согласительной комиссии, полномочия членов согласительной комиссии</w:t>
      </w:r>
    </w:p>
    <w:p w:rsidR="00E713C0" w:rsidRPr="001A59DE" w:rsidRDefault="00E713C0" w:rsidP="00A47D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3.2. Состав согласительной комиссии утверждается администрацией муниципального образова</w:t>
      </w:r>
      <w:r w:rsidR="000F317F">
        <w:rPr>
          <w:rFonts w:ascii="Times New Roman" w:hAnsi="Times New Roman"/>
          <w:sz w:val="24"/>
          <w:szCs w:val="24"/>
          <w:lang w:eastAsia="ru-RU"/>
        </w:rPr>
        <w:t>ния сельское поселение «</w:t>
      </w:r>
      <w:r w:rsidR="00966432">
        <w:rPr>
          <w:rFonts w:ascii="Times New Roman" w:hAnsi="Times New Roman"/>
          <w:sz w:val="24"/>
          <w:szCs w:val="24"/>
          <w:lang w:eastAsia="ru-RU"/>
        </w:rPr>
        <w:t xml:space="preserve"> Деревня Озеро</w:t>
      </w:r>
      <w:r w:rsidRPr="001A59DE">
        <w:rPr>
          <w:rFonts w:ascii="Times New Roman" w:hAnsi="Times New Roman"/>
          <w:sz w:val="24"/>
          <w:szCs w:val="24"/>
          <w:lang w:eastAsia="ru-RU"/>
        </w:rPr>
        <w:t>»;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lastRenderedPageBreak/>
        <w:t>2.3. Замена членов согласительной комиссии осуществляется по решению администрации муниципального образования сельское поселе</w:t>
      </w:r>
      <w:r w:rsidR="000F317F">
        <w:rPr>
          <w:rFonts w:ascii="Times New Roman" w:hAnsi="Times New Roman"/>
          <w:sz w:val="24"/>
          <w:szCs w:val="24"/>
          <w:lang w:eastAsia="ru-RU"/>
        </w:rPr>
        <w:t>ние «</w:t>
      </w:r>
      <w:r w:rsidR="00966432">
        <w:rPr>
          <w:rFonts w:ascii="Times New Roman" w:hAnsi="Times New Roman"/>
          <w:sz w:val="24"/>
          <w:szCs w:val="24"/>
          <w:lang w:eastAsia="ru-RU"/>
        </w:rPr>
        <w:t>Деревня Озеро</w:t>
      </w:r>
      <w:r w:rsidRPr="001A59DE">
        <w:rPr>
          <w:rFonts w:ascii="Times New Roman" w:hAnsi="Times New Roman"/>
          <w:sz w:val="24"/>
          <w:szCs w:val="24"/>
          <w:lang w:eastAsia="ru-RU"/>
        </w:rPr>
        <w:t>».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 Председатель согласительной комиссии: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3.4.1) осуществляет общее руководство деятельностью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3.4.2) председательствует на заседаниях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3.4.3) распределяет обязанности между членами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3.4.4) назначает дату заседания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3.4.5) осуществляет общий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деятельностью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 Секретарь согласительной комиссии: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3.6. Члены согласительной комиссии обязаны: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3.6.2) принимать участие в заседаниях согласительной комиссии;</w:t>
      </w:r>
    </w:p>
    <w:p w:rsidR="00E713C0" w:rsidRPr="001A59DE" w:rsidRDefault="00E713C0" w:rsidP="00B25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4C63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4. Порядок работы согласительной комиссии</w:t>
      </w:r>
    </w:p>
    <w:p w:rsidR="00E713C0" w:rsidRPr="001A59DE" w:rsidRDefault="00E713C0" w:rsidP="004C63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B25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4.1.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9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и исполнитель комплексных кадастровых работ.</w:t>
      </w:r>
      <w:proofErr w:type="gramEnd"/>
    </w:p>
    <w:p w:rsidR="00E713C0" w:rsidRPr="001A59DE" w:rsidRDefault="00E713C0" w:rsidP="006E6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4.3. Извещение о проведении заседания согласительной комиссии по форме, установленной Приказом Минэкономразвития Российской Федерации от 23.04.2015 года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 чем за пятнадцать рабочих дней до дня проведения первого заседания.</w:t>
      </w:r>
    </w:p>
    <w:p w:rsidR="00E713C0" w:rsidRPr="001A59DE" w:rsidRDefault="00E713C0" w:rsidP="006E6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4.4.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Проект карты - плана территории, подготовленный исполнителем работ по форме, установленной приказом Минэкономразвития России от 22.06.2015 года № 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 387), направляется в согласительную комиссию заказчиком комплексных кадастровых работ в соответствии с частью 9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статьи 42.10 Федерального закона № 221-ФЗ.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4.5.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</w:t>
      </w:r>
      <w:r w:rsidRPr="001A59DE">
        <w:rPr>
          <w:rFonts w:ascii="Times New Roman" w:hAnsi="Times New Roman"/>
          <w:sz w:val="24"/>
          <w:szCs w:val="24"/>
          <w:lang w:eastAsia="ru-RU"/>
        </w:rPr>
        <w:lastRenderedPageBreak/>
        <w:t>согласования местоположения границ земельных участков и регламент работы согласительной комиссии.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0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№ 221-ФЗ.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4.7.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Возражения заинтересованных лиц, указанных в </w:t>
      </w:r>
      <w:hyperlink r:id="rId11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E713C0" w:rsidRPr="001A59DE" w:rsidRDefault="00E713C0" w:rsidP="007D7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713C0" w:rsidRPr="001A59DE" w:rsidRDefault="00E713C0" w:rsidP="000D51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E713C0" w:rsidRPr="001A59DE" w:rsidRDefault="00E713C0" w:rsidP="000D51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713C0" w:rsidRPr="001A59DE" w:rsidRDefault="00E713C0" w:rsidP="00780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4.11.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года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4.12.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lastRenderedPageBreak/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E713C0" w:rsidRPr="001A59DE" w:rsidRDefault="00E713C0" w:rsidP="00F06BE1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5. Порядок рассмотрения споров о местоположении границ земельных участков</w:t>
      </w:r>
    </w:p>
    <w:p w:rsidR="00E713C0" w:rsidRPr="001A59DE" w:rsidRDefault="00E713C0" w:rsidP="00F06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E713C0" w:rsidRPr="001A59DE" w:rsidRDefault="00E713C0" w:rsidP="005541F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</w:t>
      </w:r>
      <w:r w:rsidRPr="001A59DE">
        <w:rPr>
          <w:rFonts w:ascii="Times New Roman" w:hAnsi="Times New Roman"/>
          <w:lang w:eastAsia="ru-RU"/>
        </w:rPr>
        <w:t>.</w:t>
      </w:r>
    </w:p>
    <w:sectPr w:rsidR="00E713C0" w:rsidRPr="001A59DE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0251C"/>
    <w:rsid w:val="00011AD5"/>
    <w:rsid w:val="0001412A"/>
    <w:rsid w:val="000342CC"/>
    <w:rsid w:val="0005222E"/>
    <w:rsid w:val="0006434C"/>
    <w:rsid w:val="00075C9F"/>
    <w:rsid w:val="00084953"/>
    <w:rsid w:val="00086079"/>
    <w:rsid w:val="000923BB"/>
    <w:rsid w:val="000A109E"/>
    <w:rsid w:val="000A4533"/>
    <w:rsid w:val="000A5CAE"/>
    <w:rsid w:val="000D4BAD"/>
    <w:rsid w:val="000D5188"/>
    <w:rsid w:val="000E3F63"/>
    <w:rsid w:val="000F317F"/>
    <w:rsid w:val="00101248"/>
    <w:rsid w:val="001128CD"/>
    <w:rsid w:val="00114348"/>
    <w:rsid w:val="00126035"/>
    <w:rsid w:val="0013036B"/>
    <w:rsid w:val="00145DE4"/>
    <w:rsid w:val="001A030F"/>
    <w:rsid w:val="001A59DE"/>
    <w:rsid w:val="001C67B4"/>
    <w:rsid w:val="001E0D21"/>
    <w:rsid w:val="001E5E51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42B30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4F68D5"/>
    <w:rsid w:val="005006F8"/>
    <w:rsid w:val="00500B68"/>
    <w:rsid w:val="005200FA"/>
    <w:rsid w:val="0053021E"/>
    <w:rsid w:val="00531C4B"/>
    <w:rsid w:val="00542351"/>
    <w:rsid w:val="005541FD"/>
    <w:rsid w:val="005820B1"/>
    <w:rsid w:val="00587320"/>
    <w:rsid w:val="005A612D"/>
    <w:rsid w:val="005A66F9"/>
    <w:rsid w:val="005A76AD"/>
    <w:rsid w:val="005B2EF7"/>
    <w:rsid w:val="005B3A3B"/>
    <w:rsid w:val="005F26E7"/>
    <w:rsid w:val="005F3115"/>
    <w:rsid w:val="005F4139"/>
    <w:rsid w:val="005F72E5"/>
    <w:rsid w:val="00610CF7"/>
    <w:rsid w:val="0061515F"/>
    <w:rsid w:val="0063026F"/>
    <w:rsid w:val="006440CA"/>
    <w:rsid w:val="0065505B"/>
    <w:rsid w:val="00657B72"/>
    <w:rsid w:val="00663D8F"/>
    <w:rsid w:val="0066404A"/>
    <w:rsid w:val="00696C15"/>
    <w:rsid w:val="006D707B"/>
    <w:rsid w:val="006E3EEC"/>
    <w:rsid w:val="006E5536"/>
    <w:rsid w:val="006E6963"/>
    <w:rsid w:val="006F6E1A"/>
    <w:rsid w:val="00710443"/>
    <w:rsid w:val="00710A42"/>
    <w:rsid w:val="00744B5C"/>
    <w:rsid w:val="00744C55"/>
    <w:rsid w:val="00777AC0"/>
    <w:rsid w:val="00780B1A"/>
    <w:rsid w:val="007A0EA8"/>
    <w:rsid w:val="007A66FD"/>
    <w:rsid w:val="007B38AE"/>
    <w:rsid w:val="007D703B"/>
    <w:rsid w:val="007E18BB"/>
    <w:rsid w:val="007E2673"/>
    <w:rsid w:val="007E6080"/>
    <w:rsid w:val="007F3A92"/>
    <w:rsid w:val="008120B7"/>
    <w:rsid w:val="00813859"/>
    <w:rsid w:val="00834466"/>
    <w:rsid w:val="00852741"/>
    <w:rsid w:val="00853AD0"/>
    <w:rsid w:val="00856C02"/>
    <w:rsid w:val="00893D49"/>
    <w:rsid w:val="008A50EF"/>
    <w:rsid w:val="008B36C9"/>
    <w:rsid w:val="008C5FAF"/>
    <w:rsid w:val="008C7618"/>
    <w:rsid w:val="008F6C64"/>
    <w:rsid w:val="009042CA"/>
    <w:rsid w:val="00905FE5"/>
    <w:rsid w:val="00910C0E"/>
    <w:rsid w:val="00915644"/>
    <w:rsid w:val="00916960"/>
    <w:rsid w:val="009631D3"/>
    <w:rsid w:val="00966432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A14B9"/>
    <w:rsid w:val="00AB332E"/>
    <w:rsid w:val="00AB454F"/>
    <w:rsid w:val="00AC5DA3"/>
    <w:rsid w:val="00B02421"/>
    <w:rsid w:val="00B06710"/>
    <w:rsid w:val="00B17451"/>
    <w:rsid w:val="00B25F9A"/>
    <w:rsid w:val="00B30A88"/>
    <w:rsid w:val="00B50CA2"/>
    <w:rsid w:val="00B518BA"/>
    <w:rsid w:val="00BA2550"/>
    <w:rsid w:val="00BA5C9C"/>
    <w:rsid w:val="00BB041A"/>
    <w:rsid w:val="00BC0442"/>
    <w:rsid w:val="00BC09B9"/>
    <w:rsid w:val="00BC3D8A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6074D"/>
    <w:rsid w:val="00E614EE"/>
    <w:rsid w:val="00E713C0"/>
    <w:rsid w:val="00E715BE"/>
    <w:rsid w:val="00E81A2F"/>
    <w:rsid w:val="00E825A6"/>
    <w:rsid w:val="00E837D6"/>
    <w:rsid w:val="00E96EEB"/>
    <w:rsid w:val="00EB5AAC"/>
    <w:rsid w:val="00EE2698"/>
    <w:rsid w:val="00EE2B45"/>
    <w:rsid w:val="00EE2DA7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75D6D"/>
    <w:rsid w:val="00FB15E8"/>
    <w:rsid w:val="00FB6E63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16F8"/>
    <w:rPr>
      <w:rFonts w:ascii="inherit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rsid w:val="002616F8"/>
    <w:rPr>
      <w:rFonts w:cs="Times New Roman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uiPriority w:val="99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BB041A"/>
    <w:rPr>
      <w:rFonts w:ascii="Times New Roman" w:hAnsi="Times New Roman" w:cs="Times New Roman"/>
      <w:b/>
      <w:sz w:val="26"/>
      <w:szCs w:val="26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BB04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99"/>
    <w:locked/>
    <w:rsid w:val="00BB04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9D2D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9D2D5E"/>
    <w:rPr>
      <w:rFonts w:ascii="Courier New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D80B8A"/>
    <w:rPr>
      <w:rFonts w:cs="Times New Roman"/>
      <w:b/>
      <w:bCs/>
    </w:rPr>
  </w:style>
  <w:style w:type="table" w:styleId="ae">
    <w:name w:val="Table Grid"/>
    <w:basedOn w:val="a1"/>
    <w:uiPriority w:val="99"/>
    <w:rsid w:val="008B36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63026F"/>
    <w:rPr>
      <w:rFonts w:cs="Times New Roman"/>
      <w:color w:val="800080"/>
      <w:u w:val="single"/>
    </w:rPr>
  </w:style>
  <w:style w:type="paragraph" w:styleId="af0">
    <w:name w:val="No Spacing"/>
    <w:uiPriority w:val="99"/>
    <w:qFormat/>
    <w:rsid w:val="00442B3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16F8"/>
    <w:rPr>
      <w:rFonts w:ascii="inherit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rsid w:val="002616F8"/>
    <w:rPr>
      <w:rFonts w:cs="Times New Roman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uiPriority w:val="99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BB041A"/>
    <w:rPr>
      <w:rFonts w:ascii="Times New Roman" w:hAnsi="Times New Roman" w:cs="Times New Roman"/>
      <w:b/>
      <w:sz w:val="26"/>
      <w:szCs w:val="26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BB04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99"/>
    <w:locked/>
    <w:rsid w:val="00BB04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9D2D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9D2D5E"/>
    <w:rPr>
      <w:rFonts w:ascii="Courier New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D80B8A"/>
    <w:rPr>
      <w:rFonts w:cs="Times New Roman"/>
      <w:b/>
      <w:bCs/>
    </w:rPr>
  </w:style>
  <w:style w:type="table" w:styleId="ae">
    <w:name w:val="Table Grid"/>
    <w:basedOn w:val="a1"/>
    <w:uiPriority w:val="99"/>
    <w:rsid w:val="008B36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63026F"/>
    <w:rPr>
      <w:rFonts w:cs="Times New Roman"/>
      <w:color w:val="800080"/>
      <w:u w:val="single"/>
    </w:rPr>
  </w:style>
  <w:style w:type="paragraph" w:styleId="af0">
    <w:name w:val="No Spacing"/>
    <w:uiPriority w:val="99"/>
    <w:qFormat/>
    <w:rsid w:val="00442B3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39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2021-04-29T09:57:00Z</cp:lastPrinted>
  <dcterms:created xsi:type="dcterms:W3CDTF">2021-03-30T11:24:00Z</dcterms:created>
  <dcterms:modified xsi:type="dcterms:W3CDTF">2021-04-29T10:00:00Z</dcterms:modified>
</cp:coreProperties>
</file>